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15" w:rsidRDefault="005C7C15" w:rsidP="00312F82">
      <w:pPr>
        <w:jc w:val="center"/>
        <w:rPr>
          <w:b/>
          <w:sz w:val="28"/>
          <w:szCs w:val="28"/>
        </w:rPr>
      </w:pPr>
      <w:r>
        <w:rPr>
          <w:b/>
          <w:sz w:val="28"/>
          <w:szCs w:val="28"/>
        </w:rPr>
        <w:t>EXPENSES POLICY</w:t>
      </w:r>
    </w:p>
    <w:p w:rsidR="005C7C15" w:rsidRDefault="005C7C15" w:rsidP="00312F82">
      <w:pPr>
        <w:spacing w:line="240" w:lineRule="auto"/>
        <w:rPr>
          <w:sz w:val="24"/>
          <w:szCs w:val="24"/>
        </w:rPr>
      </w:pPr>
      <w:r>
        <w:rPr>
          <w:sz w:val="24"/>
          <w:szCs w:val="24"/>
        </w:rPr>
        <w:t>Hewelsfield &amp; Brockweir Parish Council will make reimbursement for all or some of the expenses the Clerk, Chair or Parish Councillors may meet on its behalf when incurred in performing the duties required by the Council, such as attending training or meetings on behalf of the Council.</w:t>
      </w:r>
      <w:r w:rsidR="000D75B2">
        <w:rPr>
          <w:sz w:val="24"/>
          <w:szCs w:val="24"/>
        </w:rPr>
        <w:t xml:space="preserve">  </w:t>
      </w:r>
      <w:r>
        <w:rPr>
          <w:sz w:val="24"/>
          <w:szCs w:val="24"/>
        </w:rPr>
        <w:t>All expense claims must be submitted using the Travel and Expenses Claim Form and accompani</w:t>
      </w:r>
      <w:r w:rsidR="000D75B2">
        <w:rPr>
          <w:sz w:val="24"/>
          <w:szCs w:val="24"/>
        </w:rPr>
        <w:t>ed by receipts where applicable and authorised by cheque signatories at time of signing.</w:t>
      </w:r>
    </w:p>
    <w:p w:rsidR="005C7C15" w:rsidRDefault="005C7C15" w:rsidP="00312F82">
      <w:pPr>
        <w:spacing w:line="240" w:lineRule="auto"/>
        <w:rPr>
          <w:b/>
          <w:sz w:val="24"/>
          <w:szCs w:val="24"/>
        </w:rPr>
      </w:pPr>
      <w:r>
        <w:rPr>
          <w:b/>
          <w:sz w:val="24"/>
          <w:szCs w:val="24"/>
        </w:rPr>
        <w:t>Parish Clerk Expenses</w:t>
      </w:r>
    </w:p>
    <w:p w:rsidR="005C7C15" w:rsidRDefault="005C7C15" w:rsidP="00312F82">
      <w:pPr>
        <w:spacing w:line="240" w:lineRule="auto"/>
        <w:rPr>
          <w:sz w:val="24"/>
          <w:szCs w:val="24"/>
        </w:rPr>
      </w:pPr>
      <w:r>
        <w:rPr>
          <w:sz w:val="24"/>
          <w:szCs w:val="24"/>
        </w:rPr>
        <w:t>The Parish Clerk will be able to claim the following expenses:</w:t>
      </w:r>
    </w:p>
    <w:p w:rsidR="005C7C15" w:rsidRDefault="005C7C15" w:rsidP="00312F82">
      <w:pPr>
        <w:pStyle w:val="ListParagraph"/>
        <w:numPr>
          <w:ilvl w:val="0"/>
          <w:numId w:val="1"/>
        </w:numPr>
        <w:spacing w:line="240" w:lineRule="auto"/>
        <w:rPr>
          <w:sz w:val="24"/>
          <w:szCs w:val="24"/>
        </w:rPr>
      </w:pPr>
      <w:r>
        <w:rPr>
          <w:sz w:val="24"/>
          <w:szCs w:val="24"/>
        </w:rPr>
        <w:t>Travelling and associated travel expenses on journeys on council business to include mileage at current agreed rates (45p per mile as at 1</w:t>
      </w:r>
      <w:r w:rsidRPr="005C7C15">
        <w:rPr>
          <w:sz w:val="24"/>
          <w:szCs w:val="24"/>
          <w:vertAlign w:val="superscript"/>
        </w:rPr>
        <w:t>st</w:t>
      </w:r>
      <w:r>
        <w:rPr>
          <w:sz w:val="24"/>
          <w:szCs w:val="24"/>
        </w:rPr>
        <w:t xml:space="preserve"> April 2016) and parking fees.</w:t>
      </w:r>
    </w:p>
    <w:p w:rsidR="005C7C15" w:rsidRDefault="005C7C15" w:rsidP="00312F82">
      <w:pPr>
        <w:pStyle w:val="ListParagraph"/>
        <w:numPr>
          <w:ilvl w:val="0"/>
          <w:numId w:val="1"/>
        </w:numPr>
        <w:spacing w:line="240" w:lineRule="auto"/>
        <w:rPr>
          <w:sz w:val="24"/>
          <w:szCs w:val="24"/>
        </w:rPr>
      </w:pPr>
      <w:r>
        <w:rPr>
          <w:sz w:val="24"/>
          <w:szCs w:val="24"/>
        </w:rPr>
        <w:t>Subsistence which may include overnight accommodation and meals incurred in the performance of Parish Council business provided that these expenses have been receipted and approved by the Parish Council.</w:t>
      </w:r>
    </w:p>
    <w:p w:rsidR="005C7C15" w:rsidRDefault="005C7C15" w:rsidP="00312F82">
      <w:pPr>
        <w:pStyle w:val="ListParagraph"/>
        <w:numPr>
          <w:ilvl w:val="0"/>
          <w:numId w:val="1"/>
        </w:numPr>
        <w:spacing w:line="240" w:lineRule="auto"/>
        <w:rPr>
          <w:sz w:val="24"/>
          <w:szCs w:val="24"/>
        </w:rPr>
      </w:pPr>
      <w:r>
        <w:rPr>
          <w:sz w:val="24"/>
          <w:szCs w:val="24"/>
        </w:rPr>
        <w:t>Small purchases such as postage or supplies not exceeding £50.00 per transaction.</w:t>
      </w:r>
    </w:p>
    <w:p w:rsidR="002906AD" w:rsidRDefault="002906AD" w:rsidP="00312F82">
      <w:pPr>
        <w:pStyle w:val="ListParagraph"/>
        <w:numPr>
          <w:ilvl w:val="0"/>
          <w:numId w:val="1"/>
        </w:numPr>
        <w:spacing w:line="240" w:lineRule="auto"/>
        <w:rPr>
          <w:sz w:val="24"/>
          <w:szCs w:val="24"/>
        </w:rPr>
      </w:pPr>
      <w:r>
        <w:rPr>
          <w:sz w:val="24"/>
          <w:szCs w:val="24"/>
        </w:rPr>
        <w:t>An expenses claim form must be completed for all items to be claimed.</w:t>
      </w:r>
    </w:p>
    <w:p w:rsidR="00312F82" w:rsidRDefault="005C7C15" w:rsidP="00312F82">
      <w:pPr>
        <w:spacing w:line="240" w:lineRule="auto"/>
        <w:rPr>
          <w:b/>
          <w:sz w:val="24"/>
          <w:szCs w:val="24"/>
        </w:rPr>
      </w:pPr>
      <w:r>
        <w:rPr>
          <w:b/>
          <w:sz w:val="24"/>
          <w:szCs w:val="24"/>
        </w:rPr>
        <w:t>Chair’</w:t>
      </w:r>
      <w:r w:rsidR="00312F82">
        <w:rPr>
          <w:b/>
          <w:sz w:val="24"/>
          <w:szCs w:val="24"/>
        </w:rPr>
        <w:t>s Expenses</w:t>
      </w:r>
    </w:p>
    <w:p w:rsidR="005C7C15" w:rsidRPr="00312F82" w:rsidRDefault="005C7C15" w:rsidP="00312F82">
      <w:pPr>
        <w:spacing w:line="240" w:lineRule="auto"/>
        <w:rPr>
          <w:b/>
          <w:sz w:val="24"/>
          <w:szCs w:val="24"/>
        </w:rPr>
      </w:pPr>
      <w:r>
        <w:rPr>
          <w:sz w:val="24"/>
          <w:szCs w:val="24"/>
        </w:rPr>
        <w:t>The Chair can be allocated a small annual allowance to defray the expenses of his/he</w:t>
      </w:r>
      <w:r w:rsidR="00312F82">
        <w:rPr>
          <w:sz w:val="24"/>
          <w:szCs w:val="24"/>
        </w:rPr>
        <w:t>r office.  Details of this allowance must be agreed by the Council, included in annual budgets and reported in the accounts.</w:t>
      </w:r>
    </w:p>
    <w:p w:rsidR="00312F82" w:rsidRDefault="00312F82" w:rsidP="00312F82">
      <w:pPr>
        <w:spacing w:line="240" w:lineRule="auto"/>
        <w:rPr>
          <w:b/>
          <w:sz w:val="24"/>
          <w:szCs w:val="24"/>
        </w:rPr>
      </w:pPr>
      <w:r>
        <w:rPr>
          <w:b/>
          <w:sz w:val="24"/>
          <w:szCs w:val="24"/>
        </w:rPr>
        <w:t>Parish Councillor Expenses</w:t>
      </w:r>
    </w:p>
    <w:p w:rsidR="00312F82" w:rsidRDefault="00312F82" w:rsidP="00312F82">
      <w:pPr>
        <w:spacing w:line="240" w:lineRule="auto"/>
        <w:rPr>
          <w:sz w:val="24"/>
          <w:szCs w:val="24"/>
        </w:rPr>
      </w:pPr>
      <w:r>
        <w:rPr>
          <w:sz w:val="24"/>
          <w:szCs w:val="24"/>
        </w:rPr>
        <w:t>Parish Councillors are unpaid and only elected councillors may receive an annual allowance i</w:t>
      </w:r>
      <w:r w:rsidR="000D75B2">
        <w:rPr>
          <w:sz w:val="24"/>
          <w:szCs w:val="24"/>
        </w:rPr>
        <w:t xml:space="preserve">f agreed by the Parish Council.  </w:t>
      </w:r>
      <w:r>
        <w:rPr>
          <w:sz w:val="24"/>
          <w:szCs w:val="24"/>
        </w:rPr>
        <w:t>Parish Councillors (including the Chair) may be reimbursed for expenses for travel and subsistence on Parish Council business outside the parish:</w:t>
      </w:r>
    </w:p>
    <w:p w:rsidR="00312F82" w:rsidRDefault="00312F82" w:rsidP="00312F82">
      <w:pPr>
        <w:pStyle w:val="ListParagraph"/>
        <w:numPr>
          <w:ilvl w:val="0"/>
          <w:numId w:val="2"/>
        </w:numPr>
        <w:spacing w:line="240" w:lineRule="auto"/>
        <w:rPr>
          <w:sz w:val="24"/>
          <w:szCs w:val="24"/>
        </w:rPr>
      </w:pPr>
      <w:r>
        <w:rPr>
          <w:sz w:val="24"/>
          <w:szCs w:val="24"/>
        </w:rPr>
        <w:t>Travelling and associated travel expenses on journeys on council business to include mileage at current agreement rates (as above) and parking fees.</w:t>
      </w:r>
    </w:p>
    <w:p w:rsidR="00312F82" w:rsidRDefault="00312F82" w:rsidP="00312F82">
      <w:pPr>
        <w:pStyle w:val="ListParagraph"/>
        <w:numPr>
          <w:ilvl w:val="0"/>
          <w:numId w:val="2"/>
        </w:numPr>
        <w:spacing w:line="240" w:lineRule="auto"/>
        <w:rPr>
          <w:sz w:val="24"/>
          <w:szCs w:val="24"/>
        </w:rPr>
      </w:pPr>
      <w:r>
        <w:rPr>
          <w:sz w:val="24"/>
          <w:szCs w:val="24"/>
        </w:rPr>
        <w:t>For the purpose of making mileage claims, councillors are permitted to claim for ‘allowable journeys’ only – i.e. those made with the prior approval of the Parish Council.</w:t>
      </w:r>
    </w:p>
    <w:p w:rsidR="00312F82" w:rsidRDefault="00312F82" w:rsidP="00312F82">
      <w:pPr>
        <w:pStyle w:val="ListParagraph"/>
        <w:numPr>
          <w:ilvl w:val="0"/>
          <w:numId w:val="2"/>
        </w:numPr>
        <w:spacing w:line="240" w:lineRule="auto"/>
        <w:rPr>
          <w:sz w:val="24"/>
          <w:szCs w:val="24"/>
        </w:rPr>
      </w:pPr>
      <w:r>
        <w:rPr>
          <w:sz w:val="24"/>
          <w:szCs w:val="24"/>
        </w:rPr>
        <w:t>All claims ae to be made promptly to the Parish Clerk (within 2 months of expenditure) and where relevant must be accompanies by a receipt.</w:t>
      </w:r>
    </w:p>
    <w:p w:rsidR="00312F82" w:rsidRPr="002906AD" w:rsidRDefault="00312F82" w:rsidP="00312F82">
      <w:pPr>
        <w:pStyle w:val="ListParagraph"/>
        <w:numPr>
          <w:ilvl w:val="0"/>
          <w:numId w:val="2"/>
        </w:numPr>
        <w:spacing w:line="240" w:lineRule="auto"/>
        <w:rPr>
          <w:sz w:val="24"/>
          <w:szCs w:val="24"/>
        </w:rPr>
      </w:pPr>
      <w:r>
        <w:rPr>
          <w:sz w:val="24"/>
          <w:szCs w:val="24"/>
        </w:rPr>
        <w:t>Parish Councillors may be reimbursed for purchases made on behalf of the Parish Council – made with prior approval of the Parish Council.</w:t>
      </w:r>
    </w:p>
    <w:p w:rsidR="000D75B2" w:rsidRDefault="000D75B2" w:rsidP="00312F82">
      <w:pPr>
        <w:spacing w:line="240" w:lineRule="auto"/>
        <w:rPr>
          <w:sz w:val="24"/>
          <w:szCs w:val="24"/>
        </w:rPr>
      </w:pPr>
    </w:p>
    <w:p w:rsidR="000D75B2" w:rsidRDefault="000D75B2" w:rsidP="00312F82">
      <w:pPr>
        <w:spacing w:line="240" w:lineRule="auto"/>
        <w:rPr>
          <w:sz w:val="24"/>
          <w:szCs w:val="24"/>
        </w:rPr>
      </w:pPr>
    </w:p>
    <w:p w:rsidR="00312F82" w:rsidRDefault="00312F82" w:rsidP="00312F82">
      <w:pPr>
        <w:spacing w:line="240" w:lineRule="auto"/>
        <w:rPr>
          <w:sz w:val="24"/>
          <w:szCs w:val="24"/>
        </w:rPr>
      </w:pPr>
      <w:r>
        <w:rPr>
          <w:sz w:val="24"/>
          <w:szCs w:val="24"/>
        </w:rPr>
        <w:t xml:space="preserve">Policy Adopted: </w:t>
      </w:r>
      <w:r w:rsidR="00FD0812">
        <w:rPr>
          <w:sz w:val="24"/>
          <w:szCs w:val="24"/>
        </w:rPr>
        <w:t>14</w:t>
      </w:r>
      <w:r w:rsidR="00FD0812" w:rsidRPr="00FD0812">
        <w:rPr>
          <w:sz w:val="24"/>
          <w:szCs w:val="24"/>
          <w:vertAlign w:val="superscript"/>
        </w:rPr>
        <w:t>th</w:t>
      </w:r>
      <w:r w:rsidR="00FD0812">
        <w:rPr>
          <w:sz w:val="24"/>
          <w:szCs w:val="24"/>
        </w:rPr>
        <w:t xml:space="preserve"> June 2016</w:t>
      </w:r>
      <w:bookmarkStart w:id="0" w:name="_GoBack"/>
      <w:bookmarkEnd w:id="0"/>
    </w:p>
    <w:p w:rsidR="00312F82" w:rsidRDefault="00312F82" w:rsidP="00312F82">
      <w:pPr>
        <w:jc w:val="center"/>
        <w:rPr>
          <w:b/>
          <w:sz w:val="28"/>
          <w:szCs w:val="28"/>
        </w:rPr>
      </w:pPr>
      <w:r>
        <w:rPr>
          <w:sz w:val="24"/>
          <w:szCs w:val="24"/>
        </w:rPr>
        <w:br w:type="page"/>
      </w:r>
      <w:r>
        <w:rPr>
          <w:b/>
          <w:sz w:val="28"/>
          <w:szCs w:val="28"/>
        </w:rPr>
        <w:lastRenderedPageBreak/>
        <w:t>EXPENSES CLAIM FORM</w:t>
      </w:r>
    </w:p>
    <w:p w:rsidR="00312F82" w:rsidRDefault="00312F82" w:rsidP="00312F82">
      <w:pPr>
        <w:jc w:val="center"/>
        <w:rPr>
          <w:b/>
          <w:sz w:val="28"/>
          <w:szCs w:val="28"/>
        </w:rPr>
      </w:pPr>
    </w:p>
    <w:p w:rsidR="00312F82" w:rsidRDefault="00312F82" w:rsidP="00312F82">
      <w:pPr>
        <w:rPr>
          <w:b/>
          <w:sz w:val="28"/>
          <w:szCs w:val="28"/>
        </w:rPr>
      </w:pPr>
      <w:r>
        <w:rPr>
          <w:b/>
          <w:sz w:val="28"/>
          <w:szCs w:val="28"/>
        </w:rPr>
        <w:t>Name</w:t>
      </w:r>
      <w:r w:rsidR="00815CC7">
        <w:rPr>
          <w:b/>
          <w:sz w:val="28"/>
          <w:szCs w:val="28"/>
        </w:rPr>
        <w:t>:</w:t>
      </w:r>
      <w:r w:rsidR="002906AD">
        <w:rPr>
          <w:b/>
          <w:sz w:val="28"/>
          <w:szCs w:val="28"/>
        </w:rPr>
        <w:tab/>
      </w:r>
      <w:r w:rsidR="00815CC7">
        <w:rPr>
          <w:b/>
          <w:sz w:val="28"/>
          <w:szCs w:val="28"/>
        </w:rPr>
        <w:tab/>
      </w:r>
      <w:r w:rsidR="00815CC7">
        <w:rPr>
          <w:b/>
          <w:sz w:val="28"/>
          <w:szCs w:val="28"/>
        </w:rPr>
        <w:tab/>
      </w:r>
      <w:r w:rsidR="00815CC7">
        <w:rPr>
          <w:b/>
          <w:sz w:val="28"/>
          <w:szCs w:val="28"/>
        </w:rPr>
        <w:tab/>
      </w:r>
      <w:r w:rsidR="00815CC7">
        <w:rPr>
          <w:b/>
          <w:sz w:val="28"/>
          <w:szCs w:val="28"/>
        </w:rPr>
        <w:tab/>
      </w:r>
      <w:r w:rsidR="00815CC7">
        <w:rPr>
          <w:b/>
          <w:sz w:val="28"/>
          <w:szCs w:val="28"/>
        </w:rPr>
        <w:tab/>
      </w:r>
      <w:r w:rsidR="00815CC7">
        <w:rPr>
          <w:b/>
          <w:sz w:val="28"/>
          <w:szCs w:val="28"/>
        </w:rPr>
        <w:tab/>
      </w:r>
      <w:r w:rsidR="002906AD">
        <w:rPr>
          <w:b/>
          <w:sz w:val="28"/>
          <w:szCs w:val="28"/>
        </w:rPr>
        <w:t>Month</w:t>
      </w:r>
      <w:r w:rsidR="00815CC7">
        <w:rPr>
          <w:b/>
          <w:sz w:val="28"/>
          <w:szCs w:val="28"/>
        </w:rPr>
        <w:t>:</w:t>
      </w:r>
    </w:p>
    <w:p w:rsidR="00312F82" w:rsidRDefault="00312F82" w:rsidP="00312F82">
      <w:pPr>
        <w:rPr>
          <w:b/>
          <w:sz w:val="28"/>
          <w:szCs w:val="28"/>
        </w:rPr>
      </w:pPr>
    </w:p>
    <w:tbl>
      <w:tblPr>
        <w:tblStyle w:val="TableGrid"/>
        <w:tblW w:w="0" w:type="auto"/>
        <w:tblLook w:val="04A0" w:firstRow="1" w:lastRow="0" w:firstColumn="1" w:lastColumn="0" w:noHBand="0" w:noVBand="1"/>
      </w:tblPr>
      <w:tblGrid>
        <w:gridCol w:w="1271"/>
        <w:gridCol w:w="4111"/>
        <w:gridCol w:w="1380"/>
        <w:gridCol w:w="2254"/>
      </w:tblGrid>
      <w:tr w:rsidR="00312F82" w:rsidTr="002906AD">
        <w:tc>
          <w:tcPr>
            <w:tcW w:w="1271" w:type="dxa"/>
            <w:vAlign w:val="center"/>
          </w:tcPr>
          <w:p w:rsidR="00312F82" w:rsidRDefault="002906AD" w:rsidP="002906AD">
            <w:pPr>
              <w:jc w:val="center"/>
              <w:rPr>
                <w:b/>
                <w:sz w:val="28"/>
                <w:szCs w:val="28"/>
              </w:rPr>
            </w:pPr>
            <w:r>
              <w:rPr>
                <w:b/>
                <w:sz w:val="28"/>
                <w:szCs w:val="28"/>
              </w:rPr>
              <w:t>Date</w:t>
            </w:r>
          </w:p>
        </w:tc>
        <w:tc>
          <w:tcPr>
            <w:tcW w:w="4111" w:type="dxa"/>
            <w:vAlign w:val="center"/>
          </w:tcPr>
          <w:p w:rsidR="00312F82" w:rsidRDefault="002906AD" w:rsidP="002906AD">
            <w:pPr>
              <w:jc w:val="center"/>
              <w:rPr>
                <w:b/>
                <w:sz w:val="28"/>
                <w:szCs w:val="28"/>
              </w:rPr>
            </w:pPr>
            <w:r>
              <w:rPr>
                <w:b/>
                <w:sz w:val="28"/>
                <w:szCs w:val="28"/>
              </w:rPr>
              <w:t>Description</w:t>
            </w:r>
          </w:p>
        </w:tc>
        <w:tc>
          <w:tcPr>
            <w:tcW w:w="1380" w:type="dxa"/>
            <w:vAlign w:val="center"/>
          </w:tcPr>
          <w:p w:rsidR="00312F82" w:rsidRDefault="002906AD" w:rsidP="002906AD">
            <w:pPr>
              <w:jc w:val="center"/>
              <w:rPr>
                <w:b/>
                <w:sz w:val="28"/>
                <w:szCs w:val="28"/>
              </w:rPr>
            </w:pPr>
            <w:r>
              <w:rPr>
                <w:b/>
                <w:sz w:val="28"/>
                <w:szCs w:val="28"/>
              </w:rPr>
              <w:t xml:space="preserve">Receipt </w:t>
            </w:r>
            <w:r>
              <w:rPr>
                <w:b/>
                <w:sz w:val="28"/>
                <w:szCs w:val="28"/>
              </w:rPr>
              <w:sym w:font="Wingdings 2" w:char="F050"/>
            </w:r>
          </w:p>
        </w:tc>
        <w:tc>
          <w:tcPr>
            <w:tcW w:w="2254" w:type="dxa"/>
            <w:vAlign w:val="center"/>
          </w:tcPr>
          <w:p w:rsidR="00312F82" w:rsidRDefault="002906AD" w:rsidP="002906AD">
            <w:pPr>
              <w:jc w:val="center"/>
              <w:rPr>
                <w:b/>
                <w:sz w:val="28"/>
                <w:szCs w:val="28"/>
              </w:rPr>
            </w:pPr>
            <w:r>
              <w:rPr>
                <w:b/>
                <w:sz w:val="28"/>
                <w:szCs w:val="28"/>
              </w:rPr>
              <w:t>Amount</w:t>
            </w: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312F82" w:rsidP="00312F82">
            <w:pPr>
              <w:rPr>
                <w:b/>
                <w:sz w:val="28"/>
                <w:szCs w:val="28"/>
              </w:rPr>
            </w:pP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r w:rsidR="00312F82" w:rsidTr="002906AD">
        <w:tc>
          <w:tcPr>
            <w:tcW w:w="1271" w:type="dxa"/>
          </w:tcPr>
          <w:p w:rsidR="00312F82" w:rsidRDefault="002906AD" w:rsidP="002906AD">
            <w:pPr>
              <w:jc w:val="center"/>
              <w:rPr>
                <w:b/>
                <w:sz w:val="28"/>
                <w:szCs w:val="28"/>
              </w:rPr>
            </w:pPr>
            <w:r>
              <w:rPr>
                <w:b/>
                <w:sz w:val="28"/>
                <w:szCs w:val="28"/>
              </w:rPr>
              <w:t>Total</w:t>
            </w:r>
          </w:p>
          <w:p w:rsidR="002906AD" w:rsidRDefault="002906AD" w:rsidP="00312F82">
            <w:pPr>
              <w:rPr>
                <w:b/>
                <w:sz w:val="28"/>
                <w:szCs w:val="28"/>
              </w:rPr>
            </w:pPr>
          </w:p>
        </w:tc>
        <w:tc>
          <w:tcPr>
            <w:tcW w:w="4111" w:type="dxa"/>
          </w:tcPr>
          <w:p w:rsidR="00312F82" w:rsidRDefault="00312F82" w:rsidP="00312F82">
            <w:pPr>
              <w:rPr>
                <w:b/>
                <w:sz w:val="28"/>
                <w:szCs w:val="28"/>
              </w:rPr>
            </w:pPr>
          </w:p>
        </w:tc>
        <w:tc>
          <w:tcPr>
            <w:tcW w:w="1380" w:type="dxa"/>
          </w:tcPr>
          <w:p w:rsidR="00312F82" w:rsidRDefault="00312F82" w:rsidP="00312F82">
            <w:pPr>
              <w:rPr>
                <w:b/>
                <w:sz w:val="28"/>
                <w:szCs w:val="28"/>
              </w:rPr>
            </w:pPr>
          </w:p>
        </w:tc>
        <w:tc>
          <w:tcPr>
            <w:tcW w:w="2254" w:type="dxa"/>
          </w:tcPr>
          <w:p w:rsidR="00312F82" w:rsidRDefault="00312F82" w:rsidP="00312F82">
            <w:pPr>
              <w:rPr>
                <w:b/>
                <w:sz w:val="28"/>
                <w:szCs w:val="28"/>
              </w:rPr>
            </w:pPr>
          </w:p>
        </w:tc>
      </w:tr>
    </w:tbl>
    <w:p w:rsidR="002906AD" w:rsidRDefault="002906AD" w:rsidP="00312F82">
      <w:pPr>
        <w:rPr>
          <w:b/>
          <w:sz w:val="28"/>
          <w:szCs w:val="28"/>
        </w:rPr>
      </w:pPr>
    </w:p>
    <w:p w:rsidR="002906AD" w:rsidRDefault="002906AD" w:rsidP="00312F82">
      <w:pPr>
        <w:rPr>
          <w:b/>
          <w:sz w:val="28"/>
          <w:szCs w:val="28"/>
        </w:rPr>
      </w:pPr>
      <w:r>
        <w:rPr>
          <w:b/>
          <w:sz w:val="28"/>
          <w:szCs w:val="28"/>
        </w:rPr>
        <w:t>Authorised by…………………………………………………</w:t>
      </w:r>
      <w:r>
        <w:rPr>
          <w:b/>
          <w:sz w:val="28"/>
          <w:szCs w:val="28"/>
        </w:rPr>
        <w:tab/>
        <w:t>Date………………………………….</w:t>
      </w:r>
    </w:p>
    <w:p w:rsidR="002906AD" w:rsidRDefault="002906AD" w:rsidP="002906AD">
      <w:pPr>
        <w:rPr>
          <w:b/>
          <w:sz w:val="28"/>
          <w:szCs w:val="28"/>
        </w:rPr>
      </w:pPr>
    </w:p>
    <w:p w:rsidR="002906AD" w:rsidRPr="00312F82" w:rsidRDefault="002906AD" w:rsidP="002906AD">
      <w:pPr>
        <w:rPr>
          <w:b/>
          <w:sz w:val="28"/>
          <w:szCs w:val="28"/>
        </w:rPr>
      </w:pPr>
      <w:r>
        <w:rPr>
          <w:b/>
          <w:sz w:val="28"/>
          <w:szCs w:val="28"/>
        </w:rPr>
        <w:t>Authorised by…………………………………………………</w:t>
      </w:r>
      <w:r>
        <w:rPr>
          <w:b/>
          <w:sz w:val="28"/>
          <w:szCs w:val="28"/>
        </w:rPr>
        <w:tab/>
        <w:t>Date………………………………….</w:t>
      </w:r>
    </w:p>
    <w:p w:rsidR="002906AD" w:rsidRPr="00312F82" w:rsidRDefault="002906AD" w:rsidP="00312F82">
      <w:pPr>
        <w:rPr>
          <w:b/>
          <w:sz w:val="28"/>
          <w:szCs w:val="28"/>
        </w:rPr>
      </w:pPr>
    </w:p>
    <w:sectPr w:rsidR="002906AD" w:rsidRPr="00312F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13" w:rsidRDefault="00E83C13" w:rsidP="005C7C15">
      <w:pPr>
        <w:spacing w:after="0" w:line="240" w:lineRule="auto"/>
      </w:pPr>
      <w:r>
        <w:separator/>
      </w:r>
    </w:p>
  </w:endnote>
  <w:endnote w:type="continuationSeparator" w:id="0">
    <w:p w:rsidR="00E83C13" w:rsidRDefault="00E83C13" w:rsidP="005C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13" w:rsidRDefault="00E83C13" w:rsidP="005C7C15">
      <w:pPr>
        <w:spacing w:after="0" w:line="240" w:lineRule="auto"/>
      </w:pPr>
      <w:r>
        <w:separator/>
      </w:r>
    </w:p>
  </w:footnote>
  <w:footnote w:type="continuationSeparator" w:id="0">
    <w:p w:rsidR="00E83C13" w:rsidRDefault="00E83C13" w:rsidP="005C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15" w:rsidRDefault="005C7C15" w:rsidP="005C7C15">
    <w:pPr>
      <w:jc w:val="center"/>
      <w:rPr>
        <w:b/>
        <w:sz w:val="24"/>
        <w:szCs w:val="24"/>
      </w:rPr>
    </w:pPr>
    <w:r w:rsidRPr="00E93CC9">
      <w:rPr>
        <w:b/>
        <w:sz w:val="24"/>
        <w:szCs w:val="24"/>
      </w:rPr>
      <w:t>Hewelsfield &amp; Brockweir Parish Council</w:t>
    </w:r>
  </w:p>
  <w:p w:rsidR="005C7C15" w:rsidRPr="00E93CC9" w:rsidRDefault="005C7C15" w:rsidP="005C7C15">
    <w:pPr>
      <w:jc w:val="center"/>
      <w:rPr>
        <w:sz w:val="24"/>
        <w:szCs w:val="24"/>
      </w:rPr>
    </w:pPr>
    <w:r w:rsidRPr="00E93CC9">
      <w:rPr>
        <w:sz w:val="24"/>
        <w:szCs w:val="24"/>
      </w:rPr>
      <w:t>Manor Cottage, Quayside, Brockweir NP16 7NG</w:t>
    </w:r>
  </w:p>
  <w:p w:rsidR="005C7C15" w:rsidRDefault="005C7C15" w:rsidP="005C7C15">
    <w:pPr>
      <w:jc w:val="center"/>
      <w:rPr>
        <w:sz w:val="24"/>
        <w:szCs w:val="24"/>
      </w:rPr>
    </w:pPr>
    <w:r w:rsidRPr="00E93CC9">
      <w:rPr>
        <w:sz w:val="24"/>
        <w:szCs w:val="24"/>
      </w:rPr>
      <w:t xml:space="preserve">Tel: 01291 </w:t>
    </w:r>
    <w:proofErr w:type="gramStart"/>
    <w:r w:rsidRPr="00E93CC9">
      <w:rPr>
        <w:sz w:val="24"/>
        <w:szCs w:val="24"/>
      </w:rPr>
      <w:t>680053  E-mail</w:t>
    </w:r>
    <w:proofErr w:type="gramEnd"/>
    <w:r w:rsidRPr="00E93CC9">
      <w:rPr>
        <w:sz w:val="24"/>
        <w:szCs w:val="24"/>
      </w:rPr>
      <w:t xml:space="preserve">: </w:t>
    </w:r>
    <w:hyperlink r:id="rId1" w:history="1">
      <w:r w:rsidRPr="00151B19">
        <w:rPr>
          <w:rStyle w:val="Hyperlink"/>
          <w:sz w:val="24"/>
          <w:szCs w:val="24"/>
        </w:rPr>
        <w:t>HandBPC@outlook.com</w:t>
      </w:r>
    </w:hyperlink>
  </w:p>
  <w:p w:rsidR="005C7C15" w:rsidRDefault="005C7C15">
    <w:pPr>
      <w:pStyle w:val="Header"/>
    </w:pPr>
  </w:p>
  <w:p w:rsidR="005C7C15" w:rsidRDefault="005C7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60091"/>
    <w:multiLevelType w:val="hybridMultilevel"/>
    <w:tmpl w:val="AFE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2F0795"/>
    <w:multiLevelType w:val="hybridMultilevel"/>
    <w:tmpl w:val="1C8E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15"/>
    <w:rsid w:val="000D75B2"/>
    <w:rsid w:val="002906AD"/>
    <w:rsid w:val="00312F82"/>
    <w:rsid w:val="005C7C15"/>
    <w:rsid w:val="005E7F50"/>
    <w:rsid w:val="00815CC7"/>
    <w:rsid w:val="00C804CA"/>
    <w:rsid w:val="00E83C13"/>
    <w:rsid w:val="00FD0812"/>
    <w:rsid w:val="00FE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1EA63"/>
  <w15:chartTrackingRefBased/>
  <w15:docId w15:val="{C1C6F045-3BA1-44CF-BC14-DB778F8F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15"/>
  </w:style>
  <w:style w:type="paragraph" w:styleId="Footer">
    <w:name w:val="footer"/>
    <w:basedOn w:val="Normal"/>
    <w:link w:val="FooterChar"/>
    <w:uiPriority w:val="99"/>
    <w:unhideWhenUsed/>
    <w:rsid w:val="005C7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15"/>
  </w:style>
  <w:style w:type="character" w:styleId="Hyperlink">
    <w:name w:val="Hyperlink"/>
    <w:basedOn w:val="DefaultParagraphFont"/>
    <w:uiPriority w:val="99"/>
    <w:unhideWhenUsed/>
    <w:rsid w:val="005C7C15"/>
    <w:rPr>
      <w:color w:val="0563C1" w:themeColor="hyperlink"/>
      <w:u w:val="single"/>
    </w:rPr>
  </w:style>
  <w:style w:type="paragraph" w:styleId="ListParagraph">
    <w:name w:val="List Paragraph"/>
    <w:basedOn w:val="Normal"/>
    <w:uiPriority w:val="34"/>
    <w:qFormat/>
    <w:rsid w:val="005C7C15"/>
    <w:pPr>
      <w:ind w:left="720"/>
      <w:contextualSpacing/>
    </w:pPr>
  </w:style>
  <w:style w:type="table" w:styleId="TableGrid">
    <w:name w:val="Table Grid"/>
    <w:basedOn w:val="TableNormal"/>
    <w:uiPriority w:val="39"/>
    <w:rsid w:val="0031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ndB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2016-04-25T15:02:00Z</cp:lastPrinted>
  <dcterms:created xsi:type="dcterms:W3CDTF">2016-04-25T14:24:00Z</dcterms:created>
  <dcterms:modified xsi:type="dcterms:W3CDTF">2016-07-05T14:32:00Z</dcterms:modified>
</cp:coreProperties>
</file>